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DA0C" w14:textId="77777777" w:rsidR="00A209DC" w:rsidRDefault="00A209DC" w:rsidP="00A209DC">
      <w:pPr>
        <w:jc w:val="center"/>
        <w:rPr>
          <w:rFonts w:ascii="Calibri" w:hAnsi="Calibri" w:cs="Calibri"/>
          <w:sz w:val="24"/>
          <w:szCs w:val="24"/>
        </w:rPr>
      </w:pPr>
      <w:r>
        <w:rPr>
          <w:rFonts w:ascii="Calibri" w:hAnsi="Calibri" w:cs="Calibri"/>
          <w:b/>
          <w:bCs/>
          <w:sz w:val="24"/>
          <w:szCs w:val="24"/>
        </w:rPr>
        <w:t xml:space="preserve">ASCC Assessment Panel </w:t>
      </w:r>
    </w:p>
    <w:p w14:paraId="294FEB15" w14:textId="34B3A510" w:rsidR="00A209DC" w:rsidRDefault="007934EF" w:rsidP="00A209DC">
      <w:pPr>
        <w:contextualSpacing/>
        <w:jc w:val="center"/>
        <w:rPr>
          <w:rFonts w:ascii="Calibri" w:hAnsi="Calibri" w:cs="Calibri"/>
          <w:sz w:val="24"/>
          <w:szCs w:val="24"/>
        </w:rPr>
      </w:pPr>
      <w:r>
        <w:rPr>
          <w:rFonts w:ascii="Calibri" w:hAnsi="Calibri" w:cs="Calibri"/>
          <w:sz w:val="24"/>
          <w:szCs w:val="24"/>
        </w:rPr>
        <w:t>A</w:t>
      </w:r>
      <w:r w:rsidR="006C550C">
        <w:rPr>
          <w:rFonts w:ascii="Calibri" w:hAnsi="Calibri" w:cs="Calibri"/>
          <w:sz w:val="24"/>
          <w:szCs w:val="24"/>
        </w:rPr>
        <w:t>pproved</w:t>
      </w:r>
      <w:r w:rsidR="00A209DC">
        <w:rPr>
          <w:rFonts w:ascii="Calibri" w:hAnsi="Calibri" w:cs="Calibri"/>
          <w:sz w:val="24"/>
          <w:szCs w:val="24"/>
        </w:rPr>
        <w:t xml:space="preserve"> Minutes</w:t>
      </w:r>
    </w:p>
    <w:p w14:paraId="79FA4D9B" w14:textId="77777777" w:rsidR="00A209DC" w:rsidRDefault="00A209DC" w:rsidP="00A209DC">
      <w:pPr>
        <w:contextualSpacing/>
        <w:jc w:val="center"/>
        <w:rPr>
          <w:rFonts w:ascii="Calibri" w:hAnsi="Calibri" w:cs="Calibri"/>
          <w:sz w:val="24"/>
          <w:szCs w:val="24"/>
        </w:rPr>
      </w:pPr>
    </w:p>
    <w:p w14:paraId="1280305E" w14:textId="36ADFB3E" w:rsidR="00A209DC" w:rsidRDefault="00A209DC" w:rsidP="00A209DC">
      <w:pPr>
        <w:contextualSpacing/>
        <w:rPr>
          <w:rFonts w:ascii="Calibri" w:hAnsi="Calibri" w:cs="Calibri"/>
          <w:sz w:val="24"/>
          <w:szCs w:val="24"/>
        </w:rPr>
      </w:pPr>
      <w:r>
        <w:rPr>
          <w:rFonts w:ascii="Calibri" w:hAnsi="Calibri" w:cs="Calibri"/>
          <w:sz w:val="24"/>
          <w:szCs w:val="24"/>
        </w:rPr>
        <w:t>Thursday, April 7, 2022</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2:30PM – 4:00PM</w:t>
      </w:r>
    </w:p>
    <w:p w14:paraId="5ACC3FC4" w14:textId="77777777" w:rsidR="00A209DC" w:rsidRDefault="00A209DC" w:rsidP="00A209DC">
      <w:pPr>
        <w:contextualSpacing/>
        <w:rPr>
          <w:rFonts w:ascii="Calibri" w:hAnsi="Calibri" w:cs="Calibri"/>
          <w:sz w:val="24"/>
          <w:szCs w:val="24"/>
        </w:rPr>
      </w:pPr>
    </w:p>
    <w:p w14:paraId="68B73631" w14:textId="77777777" w:rsidR="00A209DC" w:rsidRDefault="00A209DC" w:rsidP="00A209DC">
      <w:pPr>
        <w:contextualSpacing/>
        <w:rPr>
          <w:rFonts w:ascii="Calibri" w:hAnsi="Calibri" w:cs="Calibri"/>
          <w:sz w:val="24"/>
          <w:szCs w:val="24"/>
        </w:rPr>
      </w:pPr>
      <w:r>
        <w:rPr>
          <w:rFonts w:ascii="Calibri" w:hAnsi="Calibri" w:cs="Calibri"/>
          <w:sz w:val="24"/>
          <w:szCs w:val="24"/>
        </w:rPr>
        <w:t>CarmenZoom</w:t>
      </w:r>
    </w:p>
    <w:p w14:paraId="57A6D688" w14:textId="77777777" w:rsidR="00A209DC" w:rsidRDefault="00A209DC" w:rsidP="00A209DC">
      <w:pPr>
        <w:contextualSpacing/>
        <w:rPr>
          <w:rFonts w:ascii="Calibri" w:hAnsi="Calibri" w:cs="Calibri"/>
          <w:sz w:val="24"/>
          <w:szCs w:val="24"/>
        </w:rPr>
      </w:pPr>
    </w:p>
    <w:p w14:paraId="36810C5A" w14:textId="77777777" w:rsidR="00A209DC" w:rsidRDefault="00A209DC" w:rsidP="00A209DC">
      <w:pPr>
        <w:contextualSpacing/>
        <w:rPr>
          <w:rFonts w:ascii="Calibri" w:hAnsi="Calibri" w:cs="Calibri"/>
          <w:sz w:val="24"/>
          <w:szCs w:val="24"/>
        </w:rPr>
      </w:pPr>
    </w:p>
    <w:p w14:paraId="0FC3B695" w14:textId="5796C8B4" w:rsidR="00A209DC" w:rsidRDefault="00A209DC" w:rsidP="00A209DC">
      <w:pPr>
        <w:rPr>
          <w:sz w:val="24"/>
          <w:szCs w:val="24"/>
        </w:rPr>
      </w:pPr>
      <w:r>
        <w:rPr>
          <w:b/>
          <w:bCs/>
          <w:sz w:val="24"/>
          <w:szCs w:val="24"/>
        </w:rPr>
        <w:t>Attendees</w:t>
      </w:r>
      <w:r>
        <w:rPr>
          <w:sz w:val="24"/>
          <w:szCs w:val="24"/>
        </w:rPr>
        <w:t>:  Baker, Cody, Hilty, Kusaka, Lam</w:t>
      </w:r>
    </w:p>
    <w:p w14:paraId="62403C75" w14:textId="77777777" w:rsidR="00A209DC" w:rsidRDefault="00A209DC" w:rsidP="00A209DC">
      <w:pPr>
        <w:contextualSpacing/>
        <w:rPr>
          <w:rFonts w:ascii="Calibri" w:hAnsi="Calibri" w:cs="Calibri"/>
          <w:b/>
          <w:bCs/>
          <w:sz w:val="24"/>
          <w:szCs w:val="24"/>
        </w:rPr>
      </w:pPr>
      <w:r>
        <w:rPr>
          <w:rFonts w:ascii="Calibri" w:hAnsi="Calibri" w:cs="Calibri"/>
          <w:b/>
          <w:bCs/>
          <w:sz w:val="24"/>
          <w:szCs w:val="24"/>
        </w:rPr>
        <w:t>Agenda:</w:t>
      </w:r>
    </w:p>
    <w:p w14:paraId="428600EF" w14:textId="76AE306F" w:rsidR="008835BF" w:rsidRPr="008E770D" w:rsidRDefault="008835BF" w:rsidP="008835BF">
      <w:pPr>
        <w:numPr>
          <w:ilvl w:val="0"/>
          <w:numId w:val="2"/>
        </w:numPr>
        <w:rPr>
          <w:sz w:val="24"/>
          <w:szCs w:val="24"/>
        </w:rPr>
      </w:pPr>
      <w:r w:rsidRPr="008835BF">
        <w:rPr>
          <w:sz w:val="24"/>
          <w:szCs w:val="24"/>
        </w:rPr>
        <w:t>Approval of 3/24/22 minutes</w:t>
      </w:r>
    </w:p>
    <w:p w14:paraId="138503D8" w14:textId="793EF391" w:rsidR="008E770D" w:rsidRPr="008835BF" w:rsidRDefault="00C60918" w:rsidP="008E770D">
      <w:pPr>
        <w:numPr>
          <w:ilvl w:val="1"/>
          <w:numId w:val="2"/>
        </w:numPr>
        <w:rPr>
          <w:sz w:val="24"/>
          <w:szCs w:val="24"/>
        </w:rPr>
      </w:pPr>
      <w:r>
        <w:rPr>
          <w:sz w:val="24"/>
          <w:szCs w:val="24"/>
        </w:rPr>
        <w:t xml:space="preserve">Baker, Kusaka; </w:t>
      </w:r>
      <w:r>
        <w:rPr>
          <w:b/>
          <w:bCs/>
          <w:sz w:val="24"/>
          <w:szCs w:val="24"/>
        </w:rPr>
        <w:t>unanimously approved</w:t>
      </w:r>
    </w:p>
    <w:p w14:paraId="29DE98FB" w14:textId="2F5E1289" w:rsidR="008835BF" w:rsidRPr="008E770D" w:rsidRDefault="008835BF" w:rsidP="008835BF">
      <w:pPr>
        <w:numPr>
          <w:ilvl w:val="0"/>
          <w:numId w:val="2"/>
        </w:numPr>
        <w:rPr>
          <w:sz w:val="24"/>
          <w:szCs w:val="24"/>
        </w:rPr>
      </w:pPr>
      <w:r w:rsidRPr="008835BF">
        <w:rPr>
          <w:sz w:val="24"/>
          <w:szCs w:val="24"/>
        </w:rPr>
        <w:t>Landscape Architecture 2600E (existing course with GE VPA; request for 100% DL) (return)</w:t>
      </w:r>
    </w:p>
    <w:p w14:paraId="46F9EB9C" w14:textId="46901880" w:rsidR="008E770D" w:rsidRPr="004308F4" w:rsidRDefault="00607AFB" w:rsidP="008E770D">
      <w:pPr>
        <w:numPr>
          <w:ilvl w:val="1"/>
          <w:numId w:val="2"/>
        </w:numPr>
        <w:rPr>
          <w:b/>
          <w:bCs/>
          <w:sz w:val="24"/>
          <w:szCs w:val="24"/>
        </w:rPr>
      </w:pPr>
      <w:r w:rsidRPr="004308F4">
        <w:rPr>
          <w:rFonts w:eastAsia="Times New Roman"/>
          <w:b/>
          <w:bCs/>
          <w:sz w:val="24"/>
          <w:szCs w:val="24"/>
        </w:rPr>
        <w:t xml:space="preserve">30 minutes of additional instruction time are needed to meet the credit hour requirements for this course.  This half hour can be added to the video lectures and/or the recitation section. </w:t>
      </w:r>
    </w:p>
    <w:p w14:paraId="769C8410" w14:textId="585322AE" w:rsidR="00400DED" w:rsidRPr="008835BF" w:rsidRDefault="00400DED" w:rsidP="008E770D">
      <w:pPr>
        <w:numPr>
          <w:ilvl w:val="1"/>
          <w:numId w:val="2"/>
        </w:numPr>
        <w:rPr>
          <w:sz w:val="24"/>
          <w:szCs w:val="24"/>
        </w:rPr>
      </w:pPr>
      <w:r>
        <w:rPr>
          <w:sz w:val="24"/>
          <w:szCs w:val="24"/>
        </w:rPr>
        <w:t xml:space="preserve">Baker, Kusaka; </w:t>
      </w:r>
      <w:r w:rsidR="00A46E51">
        <w:rPr>
          <w:b/>
          <w:bCs/>
          <w:sz w:val="24"/>
          <w:szCs w:val="24"/>
        </w:rPr>
        <w:t xml:space="preserve">unanimously approved </w:t>
      </w:r>
      <w:r w:rsidR="00A46E51">
        <w:rPr>
          <w:sz w:val="24"/>
          <w:szCs w:val="24"/>
        </w:rPr>
        <w:t xml:space="preserve">with </w:t>
      </w:r>
      <w:r w:rsidR="00A46E51">
        <w:rPr>
          <w:b/>
          <w:bCs/>
          <w:sz w:val="24"/>
          <w:szCs w:val="24"/>
        </w:rPr>
        <w:t>one (1)</w:t>
      </w:r>
      <w:r w:rsidR="00A46E51">
        <w:rPr>
          <w:sz w:val="24"/>
          <w:szCs w:val="24"/>
        </w:rPr>
        <w:t xml:space="preserve"> </w:t>
      </w:r>
      <w:r w:rsidR="00A46E51">
        <w:rPr>
          <w:b/>
          <w:bCs/>
          <w:sz w:val="24"/>
          <w:szCs w:val="24"/>
        </w:rPr>
        <w:t xml:space="preserve">contingency </w:t>
      </w:r>
      <w:r w:rsidR="00A46E51">
        <w:rPr>
          <w:sz w:val="24"/>
          <w:szCs w:val="24"/>
        </w:rPr>
        <w:t>(in bold above)</w:t>
      </w:r>
    </w:p>
    <w:p w14:paraId="5B9FABF3" w14:textId="7CD09157" w:rsidR="008835BF" w:rsidRPr="008E770D" w:rsidRDefault="008835BF" w:rsidP="008835BF">
      <w:pPr>
        <w:numPr>
          <w:ilvl w:val="0"/>
          <w:numId w:val="2"/>
        </w:numPr>
        <w:rPr>
          <w:sz w:val="24"/>
          <w:szCs w:val="24"/>
        </w:rPr>
      </w:pPr>
      <w:r w:rsidRPr="008835BF">
        <w:rPr>
          <w:sz w:val="24"/>
          <w:szCs w:val="24"/>
        </w:rPr>
        <w:t>Chinese 2141.02 (existing course with GE Foreign Language; will be new GE World Languages; requesting 100% DL) (return)</w:t>
      </w:r>
    </w:p>
    <w:p w14:paraId="139951E4" w14:textId="433AD885" w:rsidR="00D266F7" w:rsidRPr="0019257B" w:rsidRDefault="0019257B" w:rsidP="0019257B">
      <w:pPr>
        <w:pStyle w:val="ListParagraph"/>
        <w:numPr>
          <w:ilvl w:val="1"/>
          <w:numId w:val="2"/>
        </w:numPr>
        <w:rPr>
          <w:b/>
          <w:bCs/>
          <w:sz w:val="24"/>
          <w:szCs w:val="24"/>
        </w:rPr>
      </w:pPr>
      <w:r w:rsidRPr="009E2BD7">
        <w:rPr>
          <w:b/>
          <w:bCs/>
          <w:sz w:val="24"/>
          <w:szCs w:val="24"/>
        </w:rPr>
        <w:t>The Panel respectfully requests that more information about the exams be included in the syllabus.  How will the exams be conducted?  What aspects of language will be tested and in what contexts?  Will the tests be multiple choice?  Include essays?  Spoken and written components?  These sorts of details should be specified, especially for an online course.</w:t>
      </w:r>
    </w:p>
    <w:p w14:paraId="6864B65B" w14:textId="200ABD4C" w:rsidR="008E770D" w:rsidRDefault="00AB1B5F" w:rsidP="008E770D">
      <w:pPr>
        <w:numPr>
          <w:ilvl w:val="1"/>
          <w:numId w:val="2"/>
        </w:numPr>
        <w:rPr>
          <w:sz w:val="24"/>
          <w:szCs w:val="24"/>
        </w:rPr>
      </w:pPr>
      <w:r>
        <w:rPr>
          <w:i/>
          <w:iCs/>
          <w:sz w:val="24"/>
          <w:szCs w:val="24"/>
        </w:rPr>
        <w:t xml:space="preserve">The Panel kindly notes that the range for a mark of “E” on the grading scale should read 0-62 instead of 0-59, and recommends adjusting the chart accordingly.  </w:t>
      </w:r>
    </w:p>
    <w:p w14:paraId="75A4D38A" w14:textId="6F0FAEFA" w:rsidR="001237B6" w:rsidRPr="008835BF" w:rsidRDefault="001237B6" w:rsidP="001237B6">
      <w:pPr>
        <w:numPr>
          <w:ilvl w:val="1"/>
          <w:numId w:val="2"/>
        </w:numPr>
        <w:rPr>
          <w:sz w:val="24"/>
          <w:szCs w:val="24"/>
        </w:rPr>
      </w:pPr>
      <w:r>
        <w:rPr>
          <w:sz w:val="24"/>
          <w:szCs w:val="24"/>
        </w:rPr>
        <w:t xml:space="preserve">Baker, Kusaka; </w:t>
      </w:r>
      <w:r w:rsidR="00EE2A25">
        <w:rPr>
          <w:b/>
          <w:bCs/>
          <w:sz w:val="24"/>
          <w:szCs w:val="24"/>
        </w:rPr>
        <w:t xml:space="preserve">unanimously approved </w:t>
      </w:r>
      <w:r w:rsidR="00EE2A25">
        <w:rPr>
          <w:sz w:val="24"/>
          <w:szCs w:val="24"/>
        </w:rPr>
        <w:t xml:space="preserve">with </w:t>
      </w:r>
      <w:r w:rsidR="00EE2A25">
        <w:rPr>
          <w:b/>
          <w:bCs/>
          <w:sz w:val="24"/>
          <w:szCs w:val="24"/>
        </w:rPr>
        <w:t>one (1)</w:t>
      </w:r>
      <w:r w:rsidR="00EE2A25">
        <w:rPr>
          <w:sz w:val="24"/>
          <w:szCs w:val="24"/>
        </w:rPr>
        <w:t xml:space="preserve"> </w:t>
      </w:r>
      <w:r w:rsidR="00EE2A25">
        <w:rPr>
          <w:b/>
          <w:bCs/>
          <w:sz w:val="24"/>
          <w:szCs w:val="24"/>
        </w:rPr>
        <w:t xml:space="preserve">contingency </w:t>
      </w:r>
      <w:r w:rsidR="00EE2A25">
        <w:rPr>
          <w:sz w:val="24"/>
          <w:szCs w:val="24"/>
        </w:rPr>
        <w:t xml:space="preserve">(in bold above) and </w:t>
      </w:r>
      <w:r w:rsidR="00EE2A25">
        <w:rPr>
          <w:i/>
          <w:iCs/>
          <w:sz w:val="24"/>
          <w:szCs w:val="24"/>
        </w:rPr>
        <w:t>one (1) recommendation</w:t>
      </w:r>
      <w:r w:rsidR="00EE2A25">
        <w:rPr>
          <w:sz w:val="24"/>
          <w:szCs w:val="24"/>
        </w:rPr>
        <w:t xml:space="preserve"> (in italics above)</w:t>
      </w:r>
    </w:p>
    <w:p w14:paraId="17947028" w14:textId="7AB4B5B8" w:rsidR="008835BF" w:rsidRPr="008E770D" w:rsidRDefault="008835BF" w:rsidP="008835BF">
      <w:pPr>
        <w:numPr>
          <w:ilvl w:val="0"/>
          <w:numId w:val="2"/>
        </w:numPr>
        <w:rPr>
          <w:sz w:val="24"/>
          <w:szCs w:val="24"/>
        </w:rPr>
      </w:pPr>
      <w:r w:rsidRPr="008835BF">
        <w:rPr>
          <w:sz w:val="24"/>
          <w:szCs w:val="24"/>
        </w:rPr>
        <w:t>Chinese 4142.02 (existing course with GE Foreign Language; will be new GE World Languages; requesting 100% DL) (return)</w:t>
      </w:r>
    </w:p>
    <w:p w14:paraId="55D6AF27" w14:textId="26600B5A" w:rsidR="00722018" w:rsidRPr="009E2BD7" w:rsidRDefault="009E2BD7" w:rsidP="009E2BD7">
      <w:pPr>
        <w:pStyle w:val="ListParagraph"/>
        <w:numPr>
          <w:ilvl w:val="1"/>
          <w:numId w:val="2"/>
        </w:numPr>
        <w:rPr>
          <w:b/>
          <w:bCs/>
          <w:sz w:val="24"/>
          <w:szCs w:val="24"/>
        </w:rPr>
      </w:pPr>
      <w:r w:rsidRPr="009E2BD7">
        <w:rPr>
          <w:b/>
          <w:bCs/>
          <w:sz w:val="24"/>
          <w:szCs w:val="24"/>
        </w:rPr>
        <w:t xml:space="preserve">The Panel respectfully requests that more information about the exams be included in the syllabus.  How will the exams be conducted?  What aspects of </w:t>
      </w:r>
      <w:r w:rsidRPr="009E2BD7">
        <w:rPr>
          <w:b/>
          <w:bCs/>
          <w:sz w:val="24"/>
          <w:szCs w:val="24"/>
        </w:rPr>
        <w:lastRenderedPageBreak/>
        <w:t>language will be tested and in what contexts?  Will the tests be multiple choice?  Include essays?  Spoken and written components?  These sorts of details should be specified, especially for an online course.</w:t>
      </w:r>
    </w:p>
    <w:p w14:paraId="5C894E89" w14:textId="77777777" w:rsidR="006E5D60" w:rsidRDefault="006E5D60" w:rsidP="006E5D60">
      <w:pPr>
        <w:numPr>
          <w:ilvl w:val="1"/>
          <w:numId w:val="2"/>
        </w:numPr>
        <w:rPr>
          <w:sz w:val="24"/>
          <w:szCs w:val="24"/>
        </w:rPr>
      </w:pPr>
      <w:r>
        <w:rPr>
          <w:i/>
          <w:iCs/>
          <w:sz w:val="24"/>
          <w:szCs w:val="24"/>
        </w:rPr>
        <w:t xml:space="preserve">The Panel kindly notes that the range for a mark of “E” on the grading scale should read 0-62 instead of 0-59, and recommends adjusting the chart accordingly.  </w:t>
      </w:r>
    </w:p>
    <w:p w14:paraId="6A43D1D8" w14:textId="4FD39732" w:rsidR="00112651" w:rsidRPr="008835BF" w:rsidRDefault="00112651" w:rsidP="00112651">
      <w:pPr>
        <w:numPr>
          <w:ilvl w:val="1"/>
          <w:numId w:val="2"/>
        </w:numPr>
        <w:rPr>
          <w:sz w:val="24"/>
          <w:szCs w:val="24"/>
        </w:rPr>
      </w:pPr>
      <w:r>
        <w:rPr>
          <w:sz w:val="24"/>
          <w:szCs w:val="24"/>
        </w:rPr>
        <w:t xml:space="preserve">Baker, Kusaka; </w:t>
      </w:r>
      <w:r w:rsidR="00B5086D">
        <w:rPr>
          <w:b/>
          <w:bCs/>
          <w:sz w:val="24"/>
          <w:szCs w:val="24"/>
        </w:rPr>
        <w:t xml:space="preserve">unanimously approved </w:t>
      </w:r>
      <w:r w:rsidR="00B5086D">
        <w:rPr>
          <w:sz w:val="24"/>
          <w:szCs w:val="24"/>
        </w:rPr>
        <w:t xml:space="preserve">with </w:t>
      </w:r>
      <w:r w:rsidR="00B5086D">
        <w:rPr>
          <w:b/>
          <w:bCs/>
          <w:sz w:val="24"/>
          <w:szCs w:val="24"/>
        </w:rPr>
        <w:t>one (1)</w:t>
      </w:r>
      <w:r w:rsidR="00B5086D">
        <w:rPr>
          <w:sz w:val="24"/>
          <w:szCs w:val="24"/>
        </w:rPr>
        <w:t xml:space="preserve"> </w:t>
      </w:r>
      <w:r w:rsidR="00B5086D">
        <w:rPr>
          <w:b/>
          <w:bCs/>
          <w:sz w:val="24"/>
          <w:szCs w:val="24"/>
        </w:rPr>
        <w:t xml:space="preserve">contingency </w:t>
      </w:r>
      <w:r w:rsidR="00B5086D">
        <w:rPr>
          <w:sz w:val="24"/>
          <w:szCs w:val="24"/>
        </w:rPr>
        <w:t xml:space="preserve">(in bold above) and </w:t>
      </w:r>
      <w:r w:rsidR="00B5086D">
        <w:rPr>
          <w:i/>
          <w:iCs/>
          <w:sz w:val="24"/>
          <w:szCs w:val="24"/>
        </w:rPr>
        <w:t>one (1) recommendation</w:t>
      </w:r>
      <w:r w:rsidR="00B5086D">
        <w:rPr>
          <w:sz w:val="24"/>
          <w:szCs w:val="24"/>
        </w:rPr>
        <w:t xml:space="preserve"> (in italics above)</w:t>
      </w:r>
    </w:p>
    <w:p w14:paraId="0D2FA5E7" w14:textId="77777777" w:rsidR="00CE6FAB" w:rsidRPr="008E770D" w:rsidRDefault="00CE6FAB">
      <w:pPr>
        <w:rPr>
          <w:sz w:val="24"/>
          <w:szCs w:val="24"/>
        </w:rPr>
      </w:pPr>
    </w:p>
    <w:sectPr w:rsidR="00CE6FAB" w:rsidRPr="008E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D25"/>
    <w:multiLevelType w:val="multilevel"/>
    <w:tmpl w:val="E6CC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8644C"/>
    <w:multiLevelType w:val="multilevel"/>
    <w:tmpl w:val="E1E0DF9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9D"/>
    <w:rsid w:val="00112651"/>
    <w:rsid w:val="001237B6"/>
    <w:rsid w:val="0019257B"/>
    <w:rsid w:val="002D7479"/>
    <w:rsid w:val="002E4AF8"/>
    <w:rsid w:val="0035311E"/>
    <w:rsid w:val="003D2F1E"/>
    <w:rsid w:val="00400DED"/>
    <w:rsid w:val="004308F4"/>
    <w:rsid w:val="00517492"/>
    <w:rsid w:val="005A585A"/>
    <w:rsid w:val="00607AFB"/>
    <w:rsid w:val="006C550C"/>
    <w:rsid w:val="006E5D60"/>
    <w:rsid w:val="00722018"/>
    <w:rsid w:val="00722AFD"/>
    <w:rsid w:val="007934EF"/>
    <w:rsid w:val="008835BF"/>
    <w:rsid w:val="00887D22"/>
    <w:rsid w:val="00895759"/>
    <w:rsid w:val="008E770D"/>
    <w:rsid w:val="0091409D"/>
    <w:rsid w:val="009E2BD7"/>
    <w:rsid w:val="00A209DC"/>
    <w:rsid w:val="00A42338"/>
    <w:rsid w:val="00A457D0"/>
    <w:rsid w:val="00A46E51"/>
    <w:rsid w:val="00AB1B5F"/>
    <w:rsid w:val="00B5086D"/>
    <w:rsid w:val="00C60918"/>
    <w:rsid w:val="00C978A6"/>
    <w:rsid w:val="00CE6FAB"/>
    <w:rsid w:val="00D25ECA"/>
    <w:rsid w:val="00D266F7"/>
    <w:rsid w:val="00EA20A2"/>
    <w:rsid w:val="00EC3ACD"/>
    <w:rsid w:val="00E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C2CD"/>
  <w15:chartTrackingRefBased/>
  <w15:docId w15:val="{CA98C452-24BF-4F51-86FF-07040441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117">
      <w:bodyDiv w:val="1"/>
      <w:marLeft w:val="0"/>
      <w:marRight w:val="0"/>
      <w:marTop w:val="0"/>
      <w:marBottom w:val="0"/>
      <w:divBdr>
        <w:top w:val="none" w:sz="0" w:space="0" w:color="auto"/>
        <w:left w:val="none" w:sz="0" w:space="0" w:color="auto"/>
        <w:bottom w:val="none" w:sz="0" w:space="0" w:color="auto"/>
        <w:right w:val="none" w:sz="0" w:space="0" w:color="auto"/>
      </w:divBdr>
    </w:div>
    <w:div w:id="325327007">
      <w:bodyDiv w:val="1"/>
      <w:marLeft w:val="0"/>
      <w:marRight w:val="0"/>
      <w:marTop w:val="0"/>
      <w:marBottom w:val="0"/>
      <w:divBdr>
        <w:top w:val="none" w:sz="0" w:space="0" w:color="auto"/>
        <w:left w:val="none" w:sz="0" w:space="0" w:color="auto"/>
        <w:bottom w:val="none" w:sz="0" w:space="0" w:color="auto"/>
        <w:right w:val="none" w:sz="0" w:space="0" w:color="auto"/>
      </w:divBdr>
    </w:div>
    <w:div w:id="544177977">
      <w:bodyDiv w:val="1"/>
      <w:marLeft w:val="0"/>
      <w:marRight w:val="0"/>
      <w:marTop w:val="0"/>
      <w:marBottom w:val="0"/>
      <w:divBdr>
        <w:top w:val="none" w:sz="0" w:space="0" w:color="auto"/>
        <w:left w:val="none" w:sz="0" w:space="0" w:color="auto"/>
        <w:bottom w:val="none" w:sz="0" w:space="0" w:color="auto"/>
        <w:right w:val="none" w:sz="0" w:space="0" w:color="auto"/>
      </w:divBdr>
    </w:div>
    <w:div w:id="975140053">
      <w:bodyDiv w:val="1"/>
      <w:marLeft w:val="0"/>
      <w:marRight w:val="0"/>
      <w:marTop w:val="0"/>
      <w:marBottom w:val="0"/>
      <w:divBdr>
        <w:top w:val="none" w:sz="0" w:space="0" w:color="auto"/>
        <w:left w:val="none" w:sz="0" w:space="0" w:color="auto"/>
        <w:bottom w:val="none" w:sz="0" w:space="0" w:color="auto"/>
        <w:right w:val="none" w:sz="0" w:space="0" w:color="auto"/>
      </w:divBdr>
    </w:div>
    <w:div w:id="19256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2022-05-05T18:36:00Z</dcterms:created>
  <dcterms:modified xsi:type="dcterms:W3CDTF">2022-05-05T18:36:00Z</dcterms:modified>
</cp:coreProperties>
</file>